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57" w:rsidRPr="00836557" w:rsidRDefault="00836557" w:rsidP="008365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6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Сутра сердца </w:t>
      </w:r>
      <w:proofErr w:type="spellStart"/>
      <w:r w:rsidRPr="00836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Праджня-парамиты</w:t>
      </w:r>
      <w:proofErr w:type="spellEnd"/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Евгений Алексеевич Торчинов: биография и публикации" w:history="1">
        <w:proofErr w:type="spellStart"/>
        <w:r w:rsidRPr="008365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Торчинов</w:t>
        </w:r>
        <w:proofErr w:type="spellEnd"/>
        <w:r w:rsidRPr="008365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 Е.А.</w:t>
        </w:r>
      </w:hyperlink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Содержание и текст курса лекций «Введение в буддологию»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Введение в </w:t>
        </w:r>
        <w:proofErr w:type="spellStart"/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буддологию</w:t>
        </w:r>
        <w:proofErr w:type="spellEnd"/>
      </w:hyperlink>
      <w:r w:rsidRPr="00836557">
        <w:rPr>
          <w:rFonts w:ascii="Times New Roman" w:eastAsia="Times New Roman" w:hAnsi="Times New Roman" w:cs="Times New Roman"/>
          <w:sz w:val="24"/>
          <w:szCs w:val="24"/>
        </w:rPr>
        <w:t>. Курс лекций. СПб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hyperlink r:id="rId6" w:tooltip="Санкт-Петербургское философское общество" w:history="1">
        <w:proofErr w:type="gramEnd"/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Санкт-Петербургское философское общество</w:t>
        </w:r>
      </w:hyperlink>
      <w:r w:rsidRPr="00836557">
        <w:rPr>
          <w:rFonts w:ascii="Times New Roman" w:eastAsia="Times New Roman" w:hAnsi="Times New Roman" w:cs="Times New Roman"/>
          <w:sz w:val="24"/>
          <w:szCs w:val="24"/>
        </w:rPr>
        <w:t>, 2000. С.252-267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[231]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вниманию читателей небольшой текст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одним из важнейших текстов буддизма Махаяны. Он относится к классу так называемых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праджня-парамитских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сутр, то есть канонических текстов, повествующих о высшей интуитивной премудрости, совершенном понимании, переводящем на другой берег существования, то есть в нирвану. Данная сутра не просто один из текстов данного класса. Она представляет собой как бы квинтэссенцию учения о Запредельной Премудрости, кратким и сжатым изложением его сути, сердцевины, сердца. Отсюда и название сутры.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Как и всякая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праджня-парамитская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сутра, данный текст не просто излагает определенную доктрину, но как бы стремится породить в изучающем ее человеке особое, высшее состояние сознания, состояние непосредственного переживания, видения реальности как она есть. А это состояние как раз и есть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Запредельная Премудрость. Сутра, как и разработанное на основе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праджня-парамитских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текстов философское учение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мадхьямики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шуньявады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), называет эту реальность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шуньятой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(пустотой) —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неописываемой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и невыразимой в категориях и понятиях (которые суть ментальные конструкты) реальностью.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Сутра однозначно в своеобразной «шоковой» манере провозглашает условность и относительность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фундаментальнейших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положений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раннебуддийского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учения (Хинаяна,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Тхеравада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), ставших ко времени ее создания буквально святыми для всех буддистов, и их неприменимость к истинной реальности как она есть. С точки зрения этой истины (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парамартха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сатья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) все элементы психики изначально упокоены и пребывают в нирване, а все живые существа уже здесь и теперь являются Буддами: сансара (круговерть рождений-смертей) и нирвана суть одно и то же. Усмотрение различий между ними — плод заблуждения, впрочем, тоже пустого и иллюзорного, лишенного своей собственной природы.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[232]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«Сутра сердца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Праджня-парамита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хридая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сутра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t>; кит.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Божоболомидо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синь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цзин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 является одной из наиболее популярных и почитаемых сутр дальневосточной Махаяны, особенно в школе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Чань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(Дзэн).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Она и ранее переводилась на русский язык (с санскрита А.А. Терентьевым — «Сутра сердца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» и ее место в истории буддийской философии // Буддизм: история и культура.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М., 1989 и с тибетского — С.Ю. 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Лепеховым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 — Идеи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шуньявады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в коротких сутрах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 // Психологические аспекты буддизма.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Новосибирск, 1991).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С китайского языка текст переводится впервые. Данный перевод выполнен </w:t>
      </w:r>
      <w:hyperlink r:id="rId7" w:tooltip="Евгений Алексеевич Торчинов: биография и публикации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Е.А. </w:t>
        </w:r>
        <w:proofErr w:type="spellStart"/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Торчиновым</w:t>
        </w:r>
        <w:proofErr w:type="spellEnd"/>
      </w:hyperlink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с китайской версии великого китайского переводчика и философа VII века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Сюань-цзана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включенной им в его компендиум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праджня-парамитских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текстов </w:t>
      </w:r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Маха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праджня-парамита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сутра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Китайский текст не только отражает ее ранние санскритские версии, но и особенности восприятия и понимания сутры на Дальнем Востоке, поскольку не только в Китае, но и в Корее, и в Японии, и во Вьетнаме языком буддийского канона был классический литературный китайский язык.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836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</w:t>
      </w:r>
      <w:proofErr w:type="gramEnd"/>
      <w:r w:rsidRPr="00836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утра</w:t>
      </w:r>
      <w:proofErr w:type="spellEnd"/>
      <w:r w:rsidRPr="00836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сердца </w:t>
      </w:r>
      <w:proofErr w:type="spellStart"/>
      <w:r w:rsidRPr="00836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праджня-парамиты</w:t>
      </w:r>
      <w:proofErr w:type="spellEnd"/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Бодхисаттва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Авалокитешвара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 [</w:t>
      </w:r>
      <w:bookmarkStart w:id="0" w:name="n1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"n1"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] во время осуществления глубокой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ясно увидел, что все пять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пусты. Тогда он избавился от всех страданий, перейдя на другой берег.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Шарипутра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 [</w:t>
      </w:r>
      <w:bookmarkStart w:id="1" w:name="n2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"n2"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]! Чувственно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воспринимаемое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не отлично от пустоты. Пустота не отлична от чувственно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воспринимаемого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>. Чувственно воспринимаемое — это и есть пустота. Пустота — это и есть чувственно воспринимаемое. Группы чувств, представлений, формирующих факторов и сознания так же точно таковы.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Шарипутра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! Для всех дхарм пустота — их сущностный признак. Они не рождаются и не гибнут, не загрязняются и не очищаются, не увеличиваются и не уменьшаются. Поэтому в пустоте нет группы чувственно воспринимаемого, нет групп чувства, представлений, формирующих факторов и сознания [</w:t>
      </w:r>
      <w:bookmarkStart w:id="2" w:name="n3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"n3"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836557">
        <w:rPr>
          <w:rFonts w:ascii="Times New Roman" w:eastAsia="Times New Roman" w:hAnsi="Times New Roman" w:cs="Times New Roman"/>
          <w:sz w:val="24"/>
          <w:szCs w:val="24"/>
        </w:rPr>
        <w:t>], нет способностей зрительного, слухового, обонятельного, вкусового, осязательного и умственного восприятия [</w:t>
      </w:r>
      <w:bookmarkStart w:id="3" w:name="n4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"n4"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836557">
        <w:rPr>
          <w:rFonts w:ascii="Times New Roman" w:eastAsia="Times New Roman" w:hAnsi="Times New Roman" w:cs="Times New Roman"/>
          <w:sz w:val="24"/>
          <w:szCs w:val="24"/>
        </w:rPr>
        <w:t>], нет зримого, слышимого, обоняемого, ощущаемого вкусом, осязаемого [</w:t>
      </w:r>
      <w:bookmarkStart w:id="4" w:name="n5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"n5"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5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836557">
        <w:rPr>
          <w:rFonts w:ascii="Times New Roman" w:eastAsia="Times New Roman" w:hAnsi="Times New Roman" w:cs="Times New Roman"/>
          <w:sz w:val="24"/>
          <w:szCs w:val="24"/>
        </w:rPr>
        <w:t>] и нет дхарм; нет ничего от сферы зрительного восприятия и до сферы умственного восприятия [</w:t>
      </w:r>
      <w:bookmarkStart w:id="5" w:name="n6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"n6"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6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Нет неведения и нет прекращения неведения и так вплоть до отсутствия старости и смерти и отсутствия прекращения старости и смерти [</w:t>
      </w:r>
      <w:bookmarkStart w:id="6" w:name="n7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"n7"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7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836557">
        <w:rPr>
          <w:rFonts w:ascii="Times New Roman" w:eastAsia="Times New Roman" w:hAnsi="Times New Roman" w:cs="Times New Roman"/>
          <w:sz w:val="24"/>
          <w:szCs w:val="24"/>
        </w:rPr>
        <w:t>]. Нет страдания, причины страдания, уничтожения страдания и пути, ведущего к прекращению страданий [</w:t>
      </w:r>
      <w:bookmarkStart w:id="7" w:name="n8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"n8"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8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Pr="00836557">
        <w:rPr>
          <w:rFonts w:ascii="Times New Roman" w:eastAsia="Times New Roman" w:hAnsi="Times New Roman" w:cs="Times New Roman"/>
          <w:sz w:val="24"/>
          <w:szCs w:val="24"/>
        </w:rPr>
        <w:t>]. Нет мудрости, и нет обретения, и нет ничего обретаемого.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По той причине, что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бодхисаттвы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опираются на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праджня-парамиту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в их сознании отсутствуют препятствия. А поскольку отсутствуют препятствия, то отсутствует и страх. Они удалили и опрокинули все иллюзии и обрели 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[233]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окончательную нирвану. Все Будды трех времен [</w:t>
      </w:r>
      <w:bookmarkStart w:id="8" w:name="n9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"n9"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9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] по причине опоры на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праджня-парамиту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обрели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аннутара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самьяк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самбодхи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Посему знай, что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 — это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великая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божественная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это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великого пробуждения [</w:t>
      </w:r>
      <w:bookmarkStart w:id="9" w:name="n10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"n10"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10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], это наивысшая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это несравненная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наделенная истинной сутью, а не пустопорожняя. Поэтому и называется она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мантрой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. Эта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гласит:</w:t>
      </w:r>
    </w:p>
    <w:p w:rsidR="00836557" w:rsidRPr="00836557" w:rsidRDefault="00836557" w:rsidP="008365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Гате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гате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парагате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парасамгате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бодхи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, сваха [</w:t>
      </w:r>
      <w:bookmarkStart w:id="10" w:name="n11b"/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6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"http://anthropology.ru/ru/texts/east/prajnaparamitahrdaya.html" \l "n11" </w:instrTex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65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11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Pr="00836557">
        <w:rPr>
          <w:rFonts w:ascii="Times New Roman" w:eastAsia="Times New Roman" w:hAnsi="Times New Roman" w:cs="Times New Roman"/>
          <w:sz w:val="24"/>
          <w:szCs w:val="24"/>
        </w:rPr>
        <w:t>]!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Сутра сердца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праджня-парамиты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закончена.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Перевод </w:t>
      </w:r>
      <w:hyperlink r:id="rId8" w:tooltip="Евгений Алексеевич Торчинов: биография и публикации" w:history="1">
        <w:proofErr w:type="spellStart"/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Торчинова</w:t>
        </w:r>
        <w:proofErr w:type="spellEnd"/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Е.А.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557">
        <w:rPr>
          <w:rFonts w:ascii="Times New Roman" w:eastAsia="Times New Roman" w:hAnsi="Times New Roman" w:cs="Times New Roman"/>
          <w:b/>
          <w:bCs/>
          <w:sz w:val="36"/>
          <w:szCs w:val="36"/>
        </w:rPr>
        <w:t>Комментарии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"/>
      <w:proofErr w:type="gramStart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[1]</w:t>
      </w:r>
      <w:bookmarkEnd w:id="11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Авалокитешвара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(кит.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Гуаньшиинь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 — Созерцающий Звуки Мира) — великий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бодхисаттва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махаянского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буддизма, символ великого сострадания.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Его китайское имя является переводом древнейшей санскритской формы «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Авалокитесвара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» (или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Авалокитасвара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), т. е. «Внимающий Звукам Мира», тогда как позднейшее «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Авалокитешвара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» означает «Господь, Внимающий Миру».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anchor="n1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2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[2]</w:t>
      </w:r>
      <w:bookmarkEnd w:id="12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Шарипутра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 — один из наиболее выдающихся учеников Будды, «Знаменосец Дхармы».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anchor="n2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3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[3]</w:t>
      </w:r>
      <w:bookmarkEnd w:id="13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Здесь перечисляются пять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(кит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gram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), т. е. групп элементарных мгновенных психофизических состояний (дхарм), образующих эмпирическую личность: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рупа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сэ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 — группа чувственно воспринимаемого;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ведана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шоу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 — группа чувствительности (приятное, неприятное, нейтральное);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самджня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сян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 — группа образования представлений и проведения различий;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самскара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син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 — группа формирующих факторов, волевой аспект психики, формирующий карму и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виджняна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скандха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) — группа сознания.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anchor="n3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4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[4]</w:t>
      </w:r>
      <w:bookmarkEnd w:id="14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Здесь перечисляются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индрия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 — шесть органов, или способностей чувственного восприятия, к которым относится и «ум» —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манас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anchor="n4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5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[5]</w:t>
      </w:r>
      <w:bookmarkEnd w:id="15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Здесь перечисляются объекты чувственного восприятия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вишая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). Под «дхармами» здесь имеется в виду «умопостигаемое» как объект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  <w:t> [</w:t>
      </w:r>
      <w:hyperlink r:id="rId13" w:anchor="n6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  <w:bookmarkEnd w:id="5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] Здесь содержится свернутое перечисление элементов психики (дхарм), классифицируемых по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дхату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цзе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 — источникам сознания, включающим в себя способность восприятия и ее объект (двенадцать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дхату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anchor="n5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7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  <w:bookmarkEnd w:id="16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Здесь содержится свернутое перечисление двенадцати элементов причинно-зависимого происхождения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пратитья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самутпада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), учение о котором являлось одной из первейших основ раннего буддизма. Неведение (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авидья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у мин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 — первый элемент зависимого происхождения, старость и смерть — последний.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Между ними располагаются следующие элементы (звенья —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нидана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): влечение —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воление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, сознание, имя и форма (психическое и физическое), шесть баз чувственного восприятия, соприкосновение органов чувств с их объектами, чувство приятного, неприятного или нейтрального, вожделение, стремление к желаемому, полнота жизни, новое рождение (в свою очередь, ведущее к старости и смерти).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anchor="n7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8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[8]</w:t>
      </w:r>
      <w:bookmarkEnd w:id="17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Здесь перечисляются и отрицаются (на уровне абсолютной истины) Четыре Благородные Истины буддизма: истина о всеобщности страдания, истина о причине страдания, истина о прекращении страдания и истина о пути к прекращению страдания (то есть к нирване).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anchor="n8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57">
        <w:rPr>
          <w:rFonts w:ascii="Times New Roman" w:eastAsia="Times New Roman" w:hAnsi="Times New Roman" w:cs="Times New Roman"/>
          <w:sz w:val="24"/>
          <w:szCs w:val="24"/>
        </w:rPr>
        <w:t>[234]</w:t>
      </w:r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9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[9]</w:t>
      </w:r>
      <w:bookmarkEnd w:id="18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То есть Будды прошлого, настоящего и будущего.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anchor="n9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10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[10]</w:t>
      </w:r>
      <w:bookmarkEnd w:id="19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Совершенное и всецелое пробуждение (просветление), кит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>ноудоло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саньмао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саньпути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> — высшая цель буддизма Махаяны, обретение состояния Будды.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anchor="n10b" w:history="1">
        <w:r w:rsidRPr="008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</w:t>
        </w:r>
      </w:hyperlink>
    </w:p>
    <w:p w:rsidR="00836557" w:rsidRPr="00836557" w:rsidRDefault="00836557" w:rsidP="0083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11"/>
      <w:r w:rsidRPr="00836557">
        <w:rPr>
          <w:rFonts w:ascii="Times New Roman" w:eastAsia="Times New Roman" w:hAnsi="Times New Roman" w:cs="Times New Roman"/>
          <w:b/>
          <w:bCs/>
          <w:sz w:val="24"/>
          <w:szCs w:val="24"/>
        </w:rPr>
        <w:t>[11]</w:t>
      </w:r>
      <w:bookmarkEnd w:id="20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557">
        <w:rPr>
          <w:rFonts w:ascii="Times New Roman" w:eastAsia="Times New Roman" w:hAnsi="Times New Roman" w:cs="Times New Roman"/>
          <w:sz w:val="24"/>
          <w:szCs w:val="24"/>
        </w:rPr>
        <w:t>Мантра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в китайском чтении имеет вид: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Цзиди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цзиди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болоцзиди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болосэнцзиди</w:t>
      </w:r>
      <w:proofErr w:type="spellEnd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пути, </w:t>
      </w:r>
      <w:proofErr w:type="spellStart"/>
      <w:r w:rsidRPr="00836557">
        <w:rPr>
          <w:rFonts w:ascii="Times New Roman" w:eastAsia="Times New Roman" w:hAnsi="Times New Roman" w:cs="Times New Roman"/>
          <w:i/>
          <w:iCs/>
          <w:sz w:val="24"/>
          <w:szCs w:val="24"/>
        </w:rPr>
        <w:t>сапохэ</w:t>
      </w:r>
      <w:proofErr w:type="spell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! Ее условный перевод: «О, </w:t>
      </w:r>
      <w:proofErr w:type="gramStart"/>
      <w:r w:rsidRPr="00836557">
        <w:rPr>
          <w:rFonts w:ascii="Times New Roman" w:eastAsia="Times New Roman" w:hAnsi="Times New Roman" w:cs="Times New Roman"/>
          <w:sz w:val="24"/>
          <w:szCs w:val="24"/>
        </w:rPr>
        <w:t>переводящая</w:t>
      </w:r>
      <w:proofErr w:type="gramEnd"/>
      <w:r w:rsidRPr="00836557">
        <w:rPr>
          <w:rFonts w:ascii="Times New Roman" w:eastAsia="Times New Roman" w:hAnsi="Times New Roman" w:cs="Times New Roman"/>
          <w:sz w:val="24"/>
          <w:szCs w:val="24"/>
        </w:rPr>
        <w:t xml:space="preserve"> за пределы, переводящая за пределы, 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lastRenderedPageBreak/>
        <w:t>уводящая за пределы пределов, уводящая за пределы пределов беспредельного к пробуждению, славься!»</w:t>
      </w:r>
    </w:p>
    <w:p w:rsidR="00077E4E" w:rsidRDefault="00077E4E"/>
    <w:sectPr w:rsidR="00077E4E" w:rsidSect="0007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557"/>
    <w:rsid w:val="00077E4E"/>
    <w:rsid w:val="00836557"/>
    <w:rsid w:val="00E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E"/>
  </w:style>
  <w:style w:type="paragraph" w:styleId="1">
    <w:name w:val="heading 1"/>
    <w:basedOn w:val="a"/>
    <w:link w:val="10"/>
    <w:uiPriority w:val="9"/>
    <w:qFormat/>
    <w:rsid w:val="00836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6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65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ublished">
    <w:name w:val="published"/>
    <w:basedOn w:val="a"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36557"/>
    <w:rPr>
      <w:i/>
      <w:iCs/>
    </w:rPr>
  </w:style>
  <w:style w:type="character" w:styleId="a4">
    <w:name w:val="Hyperlink"/>
    <w:basedOn w:val="a0"/>
    <w:uiPriority w:val="99"/>
    <w:semiHidden/>
    <w:unhideWhenUsed/>
    <w:rsid w:val="00836557"/>
    <w:rPr>
      <w:color w:val="0000FF"/>
      <w:u w:val="single"/>
    </w:rPr>
  </w:style>
  <w:style w:type="paragraph" w:customStyle="1" w:styleId="pagenum">
    <w:name w:val="pagenum"/>
    <w:basedOn w:val="a"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indent">
    <w:name w:val="noteindent"/>
    <w:basedOn w:val="a"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ken">
    <w:name w:val="broken"/>
    <w:basedOn w:val="a"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d">
    <w:name w:val="translated"/>
    <w:basedOn w:val="a"/>
    <w:rsid w:val="008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we/torchin.html" TargetMode="External"/><Relationship Id="rId13" Type="http://schemas.openxmlformats.org/officeDocument/2006/relationships/hyperlink" Target="http://anthropology.ru/ru/texts/east/prajnaparamitahrdaya.html" TargetMode="External"/><Relationship Id="rId18" Type="http://schemas.openxmlformats.org/officeDocument/2006/relationships/hyperlink" Target="http://anthropology.ru/ru/texts/east/prajnaparamitahrda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hropology.ru/ru/we/torchin.html" TargetMode="External"/><Relationship Id="rId12" Type="http://schemas.openxmlformats.org/officeDocument/2006/relationships/hyperlink" Target="http://anthropology.ru/ru/texts/east/prajnaparamitahrdaya.html" TargetMode="External"/><Relationship Id="rId17" Type="http://schemas.openxmlformats.org/officeDocument/2006/relationships/hyperlink" Target="http://anthropology.ru/ru/texts/east/prajnaparamitahrda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thropology.ru/ru/texts/east/prajnaparamitahrday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hropology.ru/ru/partners/psociety/index.html" TargetMode="External"/><Relationship Id="rId11" Type="http://schemas.openxmlformats.org/officeDocument/2006/relationships/hyperlink" Target="http://anthropology.ru/ru/texts/east/prajnaparamitahrdaya.html" TargetMode="External"/><Relationship Id="rId5" Type="http://schemas.openxmlformats.org/officeDocument/2006/relationships/hyperlink" Target="http://anthropology.ru/ru/texts/torchin/buddhism.html" TargetMode="External"/><Relationship Id="rId15" Type="http://schemas.openxmlformats.org/officeDocument/2006/relationships/hyperlink" Target="http://anthropology.ru/ru/texts/east/prajnaparamitahrdaya.html" TargetMode="External"/><Relationship Id="rId10" Type="http://schemas.openxmlformats.org/officeDocument/2006/relationships/hyperlink" Target="http://anthropology.ru/ru/texts/east/prajnaparamitahrdaya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nthropology.ru/ru/we/torchin.html" TargetMode="External"/><Relationship Id="rId9" Type="http://schemas.openxmlformats.org/officeDocument/2006/relationships/hyperlink" Target="http://anthropology.ru/ru/texts/east/prajnaparamitahrdaya.html" TargetMode="External"/><Relationship Id="rId14" Type="http://schemas.openxmlformats.org/officeDocument/2006/relationships/hyperlink" Target="http://anthropology.ru/ru/texts/east/prajnaparamitahrd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2011-05-20T19:27:00Z</dcterms:created>
  <dcterms:modified xsi:type="dcterms:W3CDTF">2011-05-20T19:28:00Z</dcterms:modified>
</cp:coreProperties>
</file>